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BF6A7A">
      <w:pPr>
        <w:tabs>
          <w:tab w:val="left" w:pos="2554"/>
          <w:tab w:val="center" w:pos="4819"/>
        </w:tabs>
        <w:spacing w:before="312" w:beforeLines="100" w:after="156" w:afterLines="50"/>
        <w:rPr>
          <w:rFonts w:ascii="仿宋" w:hAnsi="仿宋" w:eastAsia="仿宋" w:cs="Times New Roman"/>
          <w:b/>
          <w:sz w:val="28"/>
          <w:szCs w:val="28"/>
        </w:rPr>
      </w:pPr>
      <w:r>
        <w:rPr>
          <w:rFonts w:hint="eastAsia" w:ascii="仿宋" w:hAnsi="仿宋" w:eastAsia="仿宋" w:cs="Times New Roman"/>
          <w:b/>
          <w:sz w:val="28"/>
          <w:szCs w:val="28"/>
        </w:rPr>
        <w:t>附件1：</w:t>
      </w:r>
      <w:bookmarkStart w:id="1" w:name="_GoBack"/>
    </w:p>
    <w:p w14:paraId="7F64A73A">
      <w:pPr>
        <w:tabs>
          <w:tab w:val="left" w:pos="2554"/>
          <w:tab w:val="center" w:pos="4819"/>
        </w:tabs>
        <w:adjustRightInd w:val="0"/>
        <w:snapToGrid w:val="0"/>
        <w:spacing w:line="360" w:lineRule="auto"/>
        <w:jc w:val="center"/>
        <w:rPr>
          <w:rFonts w:ascii="仿宋" w:hAnsi="仿宋" w:eastAsia="仿宋" w:cs="Times New Roman"/>
          <w:b/>
          <w:sz w:val="32"/>
          <w:szCs w:val="32"/>
        </w:rPr>
      </w:pPr>
      <w:r>
        <w:rPr>
          <w:rFonts w:ascii="仿宋" w:hAnsi="仿宋" w:eastAsia="仿宋" w:cs="Times New Roman"/>
          <w:b/>
          <w:sz w:val="32"/>
          <w:szCs w:val="32"/>
        </w:rPr>
        <w:t>应用化学拔尖班</w:t>
      </w:r>
      <w:r>
        <w:rPr>
          <w:rFonts w:hint="eastAsia" w:ascii="仿宋" w:hAnsi="仿宋" w:eastAsia="仿宋" w:cs="Times New Roman"/>
          <w:b/>
          <w:sz w:val="32"/>
          <w:szCs w:val="32"/>
        </w:rPr>
        <w:t>简介</w:t>
      </w:r>
      <w:bookmarkEnd w:id="1"/>
    </w:p>
    <w:p w14:paraId="53706543">
      <w:pPr>
        <w:adjustRightInd w:val="0"/>
        <w:snapToGrid w:val="0"/>
        <w:spacing w:line="360" w:lineRule="auto"/>
        <w:ind w:firstLine="562" w:firstLineChars="200"/>
        <w:rPr>
          <w:rFonts w:ascii="仿宋" w:hAnsi="仿宋" w:eastAsia="仿宋" w:cs="Times New Roman"/>
          <w:b/>
          <w:sz w:val="28"/>
          <w:szCs w:val="28"/>
        </w:rPr>
      </w:pPr>
      <w:r>
        <w:rPr>
          <w:rFonts w:ascii="仿宋" w:hAnsi="仿宋" w:eastAsia="仿宋" w:cs="Times New Roman"/>
          <w:b/>
          <w:sz w:val="28"/>
          <w:szCs w:val="28"/>
        </w:rPr>
        <w:t>一、</w:t>
      </w:r>
      <w:r>
        <w:rPr>
          <w:rFonts w:hint="eastAsia" w:ascii="仿宋" w:hAnsi="仿宋" w:eastAsia="仿宋" w:cs="Times New Roman"/>
          <w:b/>
          <w:sz w:val="28"/>
          <w:szCs w:val="28"/>
        </w:rPr>
        <w:t>基本情况</w:t>
      </w:r>
    </w:p>
    <w:p w14:paraId="19E9ABA9">
      <w:pPr>
        <w:pStyle w:val="2"/>
        <w:adjustRightInd w:val="0"/>
        <w:snapToGrid w:val="0"/>
        <w:spacing w:before="156" w:beforeAutospacing="0" w:after="0" w:afterAutospacing="0" w:line="360" w:lineRule="auto"/>
        <w:ind w:firstLine="562" w:firstLineChars="200"/>
        <w:jc w:val="both"/>
        <w:rPr>
          <w:rFonts w:ascii="仿宋" w:hAnsi="仿宋" w:eastAsia="仿宋" w:cs="Times New Roman"/>
          <w:sz w:val="28"/>
          <w:szCs w:val="28"/>
        </w:rPr>
      </w:pPr>
      <w:r>
        <w:rPr>
          <w:rFonts w:ascii="仿宋" w:hAnsi="仿宋" w:eastAsia="仿宋" w:cs="Times New Roman"/>
          <w:b/>
          <w:sz w:val="28"/>
          <w:szCs w:val="28"/>
        </w:rPr>
        <w:t>1、培养目标</w:t>
      </w:r>
      <w:r>
        <w:rPr>
          <w:rFonts w:hint="eastAsia" w:ascii="仿宋" w:hAnsi="仿宋" w:eastAsia="仿宋" w:cs="Times New Roman"/>
          <w:b/>
          <w:sz w:val="28"/>
          <w:szCs w:val="28"/>
        </w:rPr>
        <w:t>：</w:t>
      </w:r>
      <w:r>
        <w:rPr>
          <w:rFonts w:ascii="仿宋" w:hAnsi="仿宋" w:eastAsia="仿宋" w:cs="Times New Roman"/>
          <w:sz w:val="28"/>
          <w:szCs w:val="28"/>
        </w:rPr>
        <w:t>培养热爱化学事业、数理外语基础及化学基础知识厚实、实验技能扎实、具有较强创新能力的化学及相关领域的高级专门科学技术人才，</w:t>
      </w:r>
      <w:r>
        <w:rPr>
          <w:rFonts w:ascii="仿宋" w:hAnsi="仿宋" w:eastAsia="仿宋" w:cs="Times New Roman"/>
          <w:b/>
          <w:sz w:val="28"/>
          <w:szCs w:val="28"/>
        </w:rPr>
        <w:t>为</w:t>
      </w:r>
      <w:r>
        <w:rPr>
          <w:rFonts w:hint="eastAsia" w:ascii="仿宋" w:hAnsi="仿宋" w:eastAsia="仿宋" w:cs="Times New Roman"/>
          <w:b/>
          <w:sz w:val="28"/>
          <w:szCs w:val="28"/>
        </w:rPr>
        <w:t>“双一流”</w:t>
      </w:r>
      <w:r>
        <w:rPr>
          <w:rFonts w:ascii="仿宋" w:hAnsi="仿宋" w:eastAsia="仿宋" w:cs="Times New Roman"/>
          <w:b/>
          <w:sz w:val="28"/>
          <w:szCs w:val="28"/>
        </w:rPr>
        <w:t>院校、中国科学院</w:t>
      </w:r>
      <w:r>
        <w:rPr>
          <w:rFonts w:hint="eastAsia" w:ascii="仿宋" w:hAnsi="仿宋" w:eastAsia="仿宋" w:cs="Times New Roman"/>
          <w:b/>
          <w:sz w:val="28"/>
          <w:szCs w:val="28"/>
        </w:rPr>
        <w:t>等</w:t>
      </w:r>
      <w:r>
        <w:rPr>
          <w:rFonts w:ascii="仿宋" w:hAnsi="仿宋" w:eastAsia="仿宋" w:cs="Times New Roman"/>
          <w:b/>
          <w:sz w:val="28"/>
          <w:szCs w:val="28"/>
        </w:rPr>
        <w:t>科研院</w:t>
      </w:r>
      <w:r>
        <w:rPr>
          <w:rFonts w:ascii="仿宋" w:hAnsi="仿宋" w:eastAsia="仿宋" w:cs="Times New Roman"/>
          <w:sz w:val="28"/>
          <w:szCs w:val="28"/>
        </w:rPr>
        <w:t>所的化学</w:t>
      </w:r>
      <w:r>
        <w:rPr>
          <w:rFonts w:hint="eastAsia" w:ascii="仿宋" w:hAnsi="仿宋" w:eastAsia="仿宋" w:cs="Times New Roman"/>
          <w:sz w:val="28"/>
          <w:szCs w:val="28"/>
        </w:rPr>
        <w:t>及</w:t>
      </w:r>
      <w:r>
        <w:rPr>
          <w:rFonts w:ascii="仿宋" w:hAnsi="仿宋" w:eastAsia="仿宋" w:cs="Times New Roman"/>
          <w:sz w:val="28"/>
          <w:szCs w:val="28"/>
        </w:rPr>
        <w:t>相关学科输送</w:t>
      </w:r>
      <w:r>
        <w:rPr>
          <w:rFonts w:hint="eastAsia" w:ascii="仿宋" w:hAnsi="仿宋" w:eastAsia="仿宋" w:cs="Times New Roman"/>
          <w:sz w:val="28"/>
          <w:szCs w:val="28"/>
        </w:rPr>
        <w:t>继续</w:t>
      </w:r>
      <w:r>
        <w:rPr>
          <w:rFonts w:ascii="仿宋" w:hAnsi="仿宋" w:eastAsia="仿宋" w:cs="Times New Roman"/>
          <w:sz w:val="28"/>
          <w:szCs w:val="28"/>
        </w:rPr>
        <w:t>攻读硕士</w:t>
      </w:r>
      <w:r>
        <w:rPr>
          <w:rFonts w:hint="eastAsia" w:ascii="仿宋" w:hAnsi="仿宋" w:eastAsia="仿宋" w:cs="Times New Roman"/>
          <w:sz w:val="28"/>
          <w:szCs w:val="28"/>
        </w:rPr>
        <w:t>、博士</w:t>
      </w:r>
      <w:r>
        <w:rPr>
          <w:rFonts w:ascii="仿宋" w:hAnsi="仿宋" w:eastAsia="仿宋" w:cs="Times New Roman"/>
          <w:sz w:val="28"/>
          <w:szCs w:val="28"/>
        </w:rPr>
        <w:t xml:space="preserve">学位的优质生源。 </w:t>
      </w:r>
    </w:p>
    <w:p w14:paraId="346B3096">
      <w:pPr>
        <w:pStyle w:val="2"/>
        <w:adjustRightInd w:val="0"/>
        <w:snapToGrid w:val="0"/>
        <w:spacing w:before="156" w:beforeAutospacing="0" w:after="0" w:afterAutospacing="0" w:line="360" w:lineRule="auto"/>
        <w:ind w:firstLine="562" w:firstLineChars="200"/>
        <w:jc w:val="both"/>
        <w:rPr>
          <w:rFonts w:ascii="仿宋" w:hAnsi="仿宋" w:eastAsia="仿宋" w:cs="Times New Roman"/>
          <w:sz w:val="28"/>
          <w:szCs w:val="28"/>
          <w:shd w:val="clear" w:color="auto" w:fill="FFFFFF"/>
        </w:rPr>
      </w:pPr>
      <w:r>
        <w:rPr>
          <w:rFonts w:ascii="仿宋" w:hAnsi="仿宋" w:eastAsia="仿宋" w:cs="Times New Roman"/>
          <w:b/>
          <w:sz w:val="28"/>
          <w:szCs w:val="28"/>
        </w:rPr>
        <w:t>2、培养模式</w:t>
      </w:r>
      <w:r>
        <w:rPr>
          <w:rFonts w:hint="eastAsia" w:ascii="仿宋" w:hAnsi="仿宋" w:eastAsia="仿宋" w:cs="Times New Roman"/>
          <w:b/>
          <w:sz w:val="28"/>
          <w:szCs w:val="28"/>
        </w:rPr>
        <w:t>：</w:t>
      </w:r>
      <w:r>
        <w:rPr>
          <w:rFonts w:ascii="仿宋" w:hAnsi="仿宋" w:eastAsia="仿宋" w:cs="Times New Roman"/>
          <w:sz w:val="28"/>
          <w:szCs w:val="28"/>
        </w:rPr>
        <w:t>采用</w:t>
      </w:r>
      <w:r>
        <w:rPr>
          <w:rFonts w:hint="eastAsia" w:ascii="仿宋" w:hAnsi="仿宋" w:eastAsia="仿宋"/>
          <w:sz w:val="28"/>
          <w:szCs w:val="28"/>
        </w:rPr>
        <w:t>“</w:t>
      </w:r>
      <w:r>
        <w:rPr>
          <w:rFonts w:ascii="仿宋" w:hAnsi="仿宋" w:eastAsia="仿宋" w:cs="Times New Roman"/>
          <w:sz w:val="28"/>
          <w:szCs w:val="28"/>
        </w:rPr>
        <w:t>小班化、个性化、全程导师化</w:t>
      </w:r>
      <w:r>
        <w:rPr>
          <w:rFonts w:hint="eastAsia" w:ascii="仿宋" w:hAnsi="仿宋" w:eastAsia="仿宋"/>
          <w:sz w:val="28"/>
          <w:szCs w:val="28"/>
        </w:rPr>
        <w:t>”</w:t>
      </w:r>
      <w:r>
        <w:rPr>
          <w:rFonts w:ascii="仿宋" w:hAnsi="仿宋" w:eastAsia="仿宋" w:cs="Times New Roman"/>
          <w:sz w:val="28"/>
          <w:szCs w:val="28"/>
        </w:rPr>
        <w:t>的教学模式，</w:t>
      </w:r>
      <w:r>
        <w:rPr>
          <w:rFonts w:hint="eastAsia" w:ascii="仿宋" w:hAnsi="仿宋" w:eastAsia="仿宋" w:cs="Times New Roman"/>
          <w:sz w:val="28"/>
          <w:szCs w:val="28"/>
        </w:rPr>
        <w:t>培养</w:t>
      </w:r>
      <w:r>
        <w:rPr>
          <w:rFonts w:ascii="仿宋" w:hAnsi="仿宋" w:eastAsia="仿宋" w:cs="Times New Roman"/>
          <w:sz w:val="28"/>
          <w:szCs w:val="28"/>
        </w:rPr>
        <w:t>全程由校内外一流教师担任导师</w:t>
      </w:r>
      <w:r>
        <w:rPr>
          <w:rFonts w:hint="eastAsia" w:ascii="仿宋" w:hAnsi="仿宋" w:eastAsia="仿宋" w:cs="Times New Roman"/>
          <w:sz w:val="28"/>
          <w:szCs w:val="28"/>
        </w:rPr>
        <w:t>和任课教师</w:t>
      </w:r>
      <w:r>
        <w:rPr>
          <w:rFonts w:ascii="仿宋" w:hAnsi="仿宋" w:eastAsia="仿宋" w:cs="Times New Roman"/>
          <w:sz w:val="28"/>
          <w:szCs w:val="28"/>
        </w:rPr>
        <w:t>，</w:t>
      </w:r>
      <w:r>
        <w:rPr>
          <w:rFonts w:hint="eastAsia" w:ascii="仿宋" w:hAnsi="仿宋" w:eastAsia="仿宋" w:cs="Times New Roman"/>
          <w:sz w:val="28"/>
          <w:szCs w:val="28"/>
        </w:rPr>
        <w:t>设有独特的</w:t>
      </w:r>
      <w:r>
        <w:rPr>
          <w:rFonts w:hint="eastAsia" w:ascii="仿宋" w:hAnsi="仿宋" w:eastAsia="仿宋"/>
          <w:sz w:val="28"/>
          <w:szCs w:val="28"/>
        </w:rPr>
        <w:t>“</w:t>
      </w:r>
      <w:r>
        <w:rPr>
          <w:rFonts w:ascii="仿宋" w:hAnsi="仿宋" w:eastAsia="仿宋" w:cs="Times New Roman"/>
          <w:sz w:val="28"/>
          <w:szCs w:val="28"/>
        </w:rPr>
        <w:t>科研创新实践</w:t>
      </w:r>
      <w:r>
        <w:rPr>
          <w:rFonts w:hint="eastAsia" w:ascii="仿宋" w:hAnsi="仿宋" w:eastAsia="仿宋"/>
          <w:sz w:val="28"/>
          <w:szCs w:val="28"/>
        </w:rPr>
        <w:t>”</w:t>
      </w:r>
      <w:r>
        <w:rPr>
          <w:rFonts w:hint="eastAsia" w:ascii="仿宋" w:hAnsi="仿宋" w:eastAsia="仿宋" w:cs="Times New Roman"/>
          <w:sz w:val="28"/>
          <w:szCs w:val="28"/>
        </w:rPr>
        <w:t>环节</w:t>
      </w:r>
      <w:r>
        <w:rPr>
          <w:rFonts w:ascii="仿宋" w:hAnsi="仿宋" w:eastAsia="仿宋" w:cs="Times New Roman"/>
          <w:sz w:val="28"/>
          <w:szCs w:val="28"/>
          <w:shd w:val="clear" w:color="auto" w:fill="FFFFFF"/>
        </w:rPr>
        <w:t>。学制四年，实行学分制，毕业时颁发应用化学专业本科学历证书</w:t>
      </w:r>
      <w:r>
        <w:rPr>
          <w:rFonts w:hint="eastAsia" w:ascii="仿宋" w:hAnsi="仿宋" w:eastAsia="仿宋" w:cs="Times New Roman"/>
          <w:sz w:val="28"/>
          <w:szCs w:val="28"/>
          <w:shd w:val="clear" w:color="auto" w:fill="FFFFFF"/>
        </w:rPr>
        <w:t>和拔尖班学业证书</w:t>
      </w:r>
      <w:r>
        <w:rPr>
          <w:rFonts w:ascii="仿宋" w:hAnsi="仿宋" w:eastAsia="仿宋" w:cs="Times New Roman"/>
          <w:sz w:val="28"/>
          <w:szCs w:val="28"/>
          <w:shd w:val="clear" w:color="auto" w:fill="FFFFFF"/>
        </w:rPr>
        <w:t>，授予理学学士学位。</w:t>
      </w:r>
    </w:p>
    <w:p w14:paraId="0F33BB31">
      <w:pPr>
        <w:adjustRightInd w:val="0"/>
        <w:snapToGrid w:val="0"/>
        <w:spacing w:line="360" w:lineRule="auto"/>
        <w:ind w:firstLine="562" w:firstLineChars="200"/>
        <w:rPr>
          <w:rFonts w:ascii="仿宋" w:hAnsi="仿宋" w:eastAsia="仿宋" w:cs="Times New Roman"/>
          <w:bCs/>
          <w:sz w:val="28"/>
          <w:szCs w:val="28"/>
        </w:rPr>
      </w:pPr>
      <w:r>
        <w:rPr>
          <w:rFonts w:hint="eastAsia" w:ascii="仿宋" w:hAnsi="仿宋" w:eastAsia="仿宋" w:cs="Times New Roman"/>
          <w:b/>
          <w:bCs/>
          <w:sz w:val="28"/>
          <w:szCs w:val="28"/>
          <w:shd w:val="clear" w:color="auto" w:fill="FFFFFF"/>
        </w:rPr>
        <w:t>3、</w:t>
      </w:r>
      <w:r>
        <w:rPr>
          <w:rFonts w:ascii="仿宋" w:hAnsi="仿宋" w:eastAsia="仿宋" w:cs="Times New Roman"/>
          <w:b/>
          <w:sz w:val="28"/>
          <w:szCs w:val="28"/>
        </w:rPr>
        <w:t>师资力量</w:t>
      </w:r>
      <w:r>
        <w:rPr>
          <w:rFonts w:hint="eastAsia" w:ascii="仿宋" w:hAnsi="仿宋" w:eastAsia="仿宋" w:cs="Times New Roman"/>
          <w:b/>
          <w:sz w:val="28"/>
          <w:szCs w:val="28"/>
        </w:rPr>
        <w:t>：</w:t>
      </w:r>
      <w:r>
        <w:rPr>
          <w:rFonts w:hint="eastAsia" w:ascii="仿宋" w:hAnsi="仿宋" w:eastAsia="仿宋" w:cs="Times New Roman"/>
          <w:bCs/>
          <w:sz w:val="28"/>
          <w:szCs w:val="28"/>
        </w:rPr>
        <w:t>学院现有教职员工126人，其中专任教师1</w:t>
      </w:r>
      <w:r>
        <w:rPr>
          <w:rFonts w:ascii="仿宋" w:hAnsi="仿宋" w:eastAsia="仿宋" w:cs="Times New Roman"/>
          <w:bCs/>
          <w:sz w:val="28"/>
          <w:szCs w:val="28"/>
        </w:rPr>
        <w:t>10</w:t>
      </w:r>
      <w:r>
        <w:rPr>
          <w:rFonts w:hint="eastAsia" w:ascii="仿宋" w:hAnsi="仿宋" w:eastAsia="仿宋" w:cs="Times New Roman"/>
          <w:bCs/>
          <w:sz w:val="28"/>
          <w:szCs w:val="28"/>
        </w:rPr>
        <w:t>人，入选教育部“长江学者”特聘教授1人，国家杰出青年科学基金获得者1人，新世纪百千万人才工程国家级人选1人，享受国务院特殊津贴专家2人，入选教育部新世纪优秀人才支持计划3人，安徽省杰出青年科学基金获得者5人，安徽省学术与技术带头人3人、后备人选3人，安徽省皖江学者及领军人才特聘教授3人、青年学者1人，安徽省“特支计划”高校创新领军人才1人；省级教学名师2人、省级教坛新秀5人，校级教学名师5人、校级教坛新秀</w:t>
      </w:r>
      <w:r>
        <w:rPr>
          <w:rFonts w:ascii="仿宋" w:hAnsi="仿宋" w:eastAsia="仿宋" w:cs="Times New Roman"/>
          <w:bCs/>
          <w:sz w:val="28"/>
          <w:szCs w:val="28"/>
        </w:rPr>
        <w:t>8</w:t>
      </w:r>
      <w:r>
        <w:rPr>
          <w:rFonts w:hint="eastAsia" w:ascii="仿宋" w:hAnsi="仿宋" w:eastAsia="仿宋" w:cs="Times New Roman"/>
          <w:bCs/>
          <w:sz w:val="28"/>
          <w:szCs w:val="28"/>
        </w:rPr>
        <w:t>人。</w:t>
      </w:r>
    </w:p>
    <w:p w14:paraId="4EA11254">
      <w:pPr>
        <w:adjustRightInd w:val="0"/>
        <w:snapToGrid w:val="0"/>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二、</w:t>
      </w:r>
      <w:r>
        <w:rPr>
          <w:rFonts w:ascii="仿宋" w:hAnsi="仿宋" w:eastAsia="仿宋" w:cs="Times New Roman"/>
          <w:b/>
          <w:sz w:val="28"/>
          <w:szCs w:val="28"/>
        </w:rPr>
        <w:t>办学模式</w:t>
      </w:r>
    </w:p>
    <w:p w14:paraId="1448FDF4">
      <w:pPr>
        <w:adjustRightInd w:val="0"/>
        <w:snapToGrid w:val="0"/>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1、固定化小班教学：依托2个国家一流专业建设点（应用化学专业和化学工程与工艺专业）的教学资源，3个省级科研创新平台等优势资源重点建设拔尖班。</w:t>
      </w:r>
    </w:p>
    <w:p w14:paraId="4F434086">
      <w:pPr>
        <w:adjustRightInd w:val="0"/>
        <w:snapToGrid w:val="0"/>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2、全程导师制：学生从入学开始配备本科生导师（每位导师指导学生不超过3名），通过导师的针对性指导，让每位学生建立适合自己的学习方法和积极的生活态度；通过课余时间参与导师的科研课题，培养和强化学生的动手实践能力、创新意识及科研素养。导师的指导不局限于学习，还包括思想动态的调整和疏导、学业及未来人生发展的规划等。</w:t>
      </w:r>
    </w:p>
    <w:p w14:paraId="620F2813">
      <w:pPr>
        <w:adjustRightInd w:val="0"/>
        <w:snapToGrid w:val="0"/>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3、集中优质师资：聘任教学经验和教学水平在同类课程教学中处于前列的骨干老师承担化学拔尖班各门课程的教学；对于重要的主干专业课，会利用晚自习额外辅导和答疑。</w:t>
      </w:r>
    </w:p>
    <w:p w14:paraId="7A81411B">
      <w:pPr>
        <w:adjustRightInd w:val="0"/>
        <w:snapToGrid w:val="0"/>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4、课程设置重基础、重实践创新：拔尖班的专业基础课以及实践教学的学时比例明显要高于普通专业，专业基础理论课的教材基本采用国内985高校使用的经典教材，与专业基础理论课相配套的实验内容及学时也明显要高于普通专业。此外，拔尖班的专业实验一律实行1人一组。拔尖班在三至六学期会安排普通专业不具有的“科研创新实践”环节（每学期不少于2周），并以导师制下的学科竞赛为推手，切实推动学生实践创新能力的培养。</w:t>
      </w:r>
    </w:p>
    <w:p w14:paraId="4BABB1B4">
      <w:pPr>
        <w:adjustRightInd w:val="0"/>
        <w:snapToGrid w:val="0"/>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三、办学成果</w:t>
      </w:r>
    </w:p>
    <w:p w14:paraId="14CD1AD6">
      <w:pPr>
        <w:pStyle w:val="5"/>
        <w:adjustRightInd w:val="0"/>
        <w:snapToGrid w:val="0"/>
        <w:spacing w:line="360" w:lineRule="auto"/>
        <w:ind w:firstLine="560"/>
        <w:rPr>
          <w:rFonts w:ascii="仿宋" w:hAnsi="仿宋" w:eastAsia="仿宋" w:cs="Times New Roman"/>
          <w:bCs/>
          <w:sz w:val="28"/>
          <w:szCs w:val="28"/>
        </w:rPr>
      </w:pPr>
      <w:r>
        <w:rPr>
          <w:rFonts w:hint="eastAsia" w:ascii="仿宋" w:hAnsi="仿宋" w:eastAsia="仿宋" w:cs="Times New Roman"/>
          <w:sz w:val="28"/>
          <w:szCs w:val="28"/>
        </w:rPr>
        <w:t>1、目前已毕业的六届（2</w:t>
      </w:r>
      <w:r>
        <w:rPr>
          <w:rFonts w:ascii="仿宋" w:hAnsi="仿宋" w:eastAsia="仿宋" w:cs="Times New Roman"/>
          <w:sz w:val="28"/>
          <w:szCs w:val="28"/>
        </w:rPr>
        <w:t>016</w:t>
      </w:r>
      <w:r>
        <w:rPr>
          <w:rFonts w:hint="eastAsia" w:ascii="仿宋" w:hAnsi="仿宋" w:eastAsia="仿宋" w:cs="Times New Roman"/>
          <w:sz w:val="28"/>
          <w:szCs w:val="28"/>
        </w:rPr>
        <w:t>级、2</w:t>
      </w:r>
      <w:r>
        <w:rPr>
          <w:rFonts w:ascii="仿宋" w:hAnsi="仿宋" w:eastAsia="仿宋" w:cs="Times New Roman"/>
          <w:sz w:val="28"/>
          <w:szCs w:val="28"/>
        </w:rPr>
        <w:t>01</w:t>
      </w:r>
      <w:r>
        <w:rPr>
          <w:rFonts w:hint="eastAsia" w:ascii="仿宋" w:hAnsi="仿宋" w:eastAsia="仿宋" w:cs="Times New Roman"/>
          <w:sz w:val="28"/>
          <w:szCs w:val="28"/>
        </w:rPr>
        <w:t>7级、2</w:t>
      </w:r>
      <w:r>
        <w:rPr>
          <w:rFonts w:ascii="仿宋" w:hAnsi="仿宋" w:eastAsia="仿宋" w:cs="Times New Roman"/>
          <w:sz w:val="28"/>
          <w:szCs w:val="28"/>
        </w:rPr>
        <w:t>01</w:t>
      </w:r>
      <w:r>
        <w:rPr>
          <w:rFonts w:hint="eastAsia" w:ascii="仿宋" w:hAnsi="仿宋" w:eastAsia="仿宋" w:cs="Times New Roman"/>
          <w:sz w:val="28"/>
          <w:szCs w:val="28"/>
        </w:rPr>
        <w:t>8级</w:t>
      </w:r>
      <w:bookmarkStart w:id="0" w:name="OLE_LINK5"/>
      <w:r>
        <w:rPr>
          <w:rFonts w:hint="eastAsia" w:ascii="仿宋" w:hAnsi="仿宋" w:eastAsia="仿宋" w:cs="Times New Roman"/>
          <w:sz w:val="28"/>
          <w:szCs w:val="28"/>
        </w:rPr>
        <w:t>、</w:t>
      </w:r>
      <w:bookmarkEnd w:id="0"/>
      <w:r>
        <w:rPr>
          <w:rFonts w:hint="eastAsia" w:ascii="仿宋" w:hAnsi="仿宋" w:eastAsia="仿宋" w:cs="Times New Roman"/>
          <w:sz w:val="28"/>
          <w:szCs w:val="28"/>
        </w:rPr>
        <w:t>2</w:t>
      </w:r>
      <w:r>
        <w:rPr>
          <w:rFonts w:ascii="仿宋" w:hAnsi="仿宋" w:eastAsia="仿宋" w:cs="Times New Roman"/>
          <w:sz w:val="28"/>
          <w:szCs w:val="28"/>
        </w:rPr>
        <w:t>01</w:t>
      </w:r>
      <w:r>
        <w:rPr>
          <w:rFonts w:hint="eastAsia" w:ascii="仿宋" w:hAnsi="仿宋" w:eastAsia="仿宋" w:cs="Times New Roman"/>
          <w:sz w:val="28"/>
          <w:szCs w:val="28"/>
        </w:rPr>
        <w:t>9级、2</w:t>
      </w:r>
      <w:r>
        <w:rPr>
          <w:rFonts w:ascii="仿宋" w:hAnsi="仿宋" w:eastAsia="仿宋" w:cs="Times New Roman"/>
          <w:sz w:val="28"/>
          <w:szCs w:val="28"/>
        </w:rPr>
        <w:t>0</w:t>
      </w:r>
      <w:r>
        <w:rPr>
          <w:rFonts w:hint="eastAsia" w:ascii="仿宋" w:hAnsi="仿宋" w:eastAsia="仿宋" w:cs="Times New Roman"/>
          <w:sz w:val="28"/>
          <w:szCs w:val="28"/>
        </w:rPr>
        <w:t>20级、2</w:t>
      </w:r>
      <w:r>
        <w:rPr>
          <w:rFonts w:ascii="仿宋" w:hAnsi="仿宋" w:eastAsia="仿宋" w:cs="Times New Roman"/>
          <w:sz w:val="28"/>
          <w:szCs w:val="28"/>
        </w:rPr>
        <w:t>021</w:t>
      </w:r>
      <w:r>
        <w:rPr>
          <w:rFonts w:hint="eastAsia" w:ascii="仿宋" w:hAnsi="仿宋" w:eastAsia="仿宋" w:cs="Times New Roman"/>
          <w:sz w:val="28"/>
          <w:szCs w:val="28"/>
        </w:rPr>
        <w:t>级）</w:t>
      </w:r>
      <w:r>
        <w:rPr>
          <w:rFonts w:ascii="仿宋" w:hAnsi="仿宋" w:eastAsia="仿宋" w:cs="Times New Roman"/>
          <w:sz w:val="28"/>
          <w:szCs w:val="28"/>
        </w:rPr>
        <w:t>毕业生</w:t>
      </w:r>
      <w:r>
        <w:rPr>
          <w:rFonts w:hint="eastAsia" w:ascii="仿宋" w:hAnsi="仿宋" w:eastAsia="仿宋" w:cs="Times New Roman"/>
          <w:sz w:val="28"/>
          <w:szCs w:val="28"/>
        </w:rPr>
        <w:t>，超过</w:t>
      </w:r>
      <w:r>
        <w:rPr>
          <w:rFonts w:hint="eastAsia" w:ascii="仿宋" w:hAnsi="仿宋" w:eastAsia="仿宋" w:cs="Times New Roman"/>
          <w:b/>
          <w:sz w:val="28"/>
          <w:szCs w:val="28"/>
        </w:rPr>
        <w:t>6</w:t>
      </w:r>
      <w:r>
        <w:rPr>
          <w:rFonts w:ascii="仿宋" w:hAnsi="仿宋" w:eastAsia="仿宋" w:cs="Times New Roman"/>
          <w:b/>
          <w:sz w:val="28"/>
          <w:szCs w:val="28"/>
        </w:rPr>
        <w:t>0</w:t>
      </w:r>
      <w:r>
        <w:rPr>
          <w:rFonts w:hint="eastAsia" w:ascii="仿宋" w:hAnsi="仿宋" w:eastAsia="仿宋" w:cs="Times New Roman"/>
          <w:b/>
          <w:sz w:val="28"/>
          <w:szCs w:val="28"/>
        </w:rPr>
        <w:t>%</w:t>
      </w:r>
      <w:r>
        <w:rPr>
          <w:rFonts w:ascii="仿宋" w:hAnsi="仿宋" w:eastAsia="仿宋" w:cs="Times New Roman"/>
          <w:sz w:val="28"/>
          <w:szCs w:val="28"/>
        </w:rPr>
        <w:t>考取研究生继续深造（</w:t>
      </w:r>
      <w:r>
        <w:rPr>
          <w:rFonts w:ascii="仿宋" w:hAnsi="仿宋" w:eastAsia="仿宋" w:cs="Times New Roman"/>
          <w:b/>
          <w:sz w:val="28"/>
          <w:szCs w:val="28"/>
        </w:rPr>
        <w:t>其中985及211高校占</w:t>
      </w:r>
      <w:r>
        <w:rPr>
          <w:rFonts w:hint="eastAsia" w:ascii="仿宋" w:hAnsi="仿宋" w:eastAsia="仿宋" w:cs="Times New Roman"/>
          <w:b/>
          <w:sz w:val="28"/>
          <w:szCs w:val="28"/>
        </w:rPr>
        <w:t>比超过7</w:t>
      </w:r>
      <w:r>
        <w:rPr>
          <w:rFonts w:ascii="仿宋" w:hAnsi="仿宋" w:eastAsia="仿宋" w:cs="Times New Roman"/>
          <w:b/>
          <w:sz w:val="28"/>
          <w:szCs w:val="28"/>
        </w:rPr>
        <w:t>5</w:t>
      </w:r>
      <w:r>
        <w:rPr>
          <w:rFonts w:hint="eastAsia" w:ascii="仿宋" w:hAnsi="仿宋" w:eastAsia="仿宋" w:cs="Times New Roman"/>
          <w:b/>
          <w:sz w:val="28"/>
          <w:szCs w:val="28"/>
        </w:rPr>
        <w:t>%</w:t>
      </w:r>
      <w:r>
        <w:rPr>
          <w:rFonts w:ascii="仿宋" w:hAnsi="仿宋" w:eastAsia="仿宋" w:cs="Times New Roman"/>
          <w:sz w:val="28"/>
          <w:szCs w:val="28"/>
        </w:rPr>
        <w:t>），</w:t>
      </w:r>
      <w:r>
        <w:rPr>
          <w:rFonts w:ascii="仿宋" w:hAnsi="仿宋" w:eastAsia="仿宋" w:cs="Times New Roman"/>
          <w:b/>
          <w:sz w:val="28"/>
          <w:szCs w:val="28"/>
        </w:rPr>
        <w:t>就业率100%</w:t>
      </w:r>
      <w:r>
        <w:rPr>
          <w:rFonts w:ascii="仿宋" w:hAnsi="仿宋" w:eastAsia="仿宋" w:cs="Times New Roman"/>
          <w:sz w:val="28"/>
          <w:szCs w:val="28"/>
        </w:rPr>
        <w:t>。</w:t>
      </w:r>
    </w:p>
    <w:p w14:paraId="1B8B526B">
      <w:pPr>
        <w:pStyle w:val="5"/>
        <w:adjustRightInd w:val="0"/>
        <w:snapToGrid w:val="0"/>
        <w:spacing w:line="360" w:lineRule="auto"/>
        <w:ind w:firstLine="560"/>
        <w:rPr>
          <w:rFonts w:ascii="仿宋" w:hAnsi="仿宋" w:eastAsia="仿宋" w:cs="Times New Roman"/>
          <w:bCs/>
          <w:sz w:val="28"/>
          <w:szCs w:val="28"/>
        </w:rPr>
      </w:pPr>
      <w:r>
        <w:rPr>
          <w:rFonts w:hint="eastAsia" w:ascii="仿宋" w:hAnsi="仿宋" w:eastAsia="仿宋" w:cs="Times New Roman"/>
          <w:bCs/>
          <w:sz w:val="28"/>
          <w:szCs w:val="28"/>
        </w:rPr>
        <w:t>2、学校以及</w:t>
      </w:r>
      <w:r>
        <w:rPr>
          <w:rFonts w:hint="eastAsia" w:ascii="仿宋" w:hAnsi="仿宋" w:eastAsia="仿宋" w:cs="Times New Roman"/>
          <w:sz w:val="28"/>
          <w:szCs w:val="28"/>
        </w:rPr>
        <w:t>安徽省近几届高校大学生化学竞赛，每届全校共有来自十多个专业的数百名学生参赛，获得一、二等奖的学生中拔尖班占八成以上，并获得全国大学生化学竞赛一等奖一人次。</w:t>
      </w:r>
    </w:p>
    <w:p w14:paraId="4AE5A212">
      <w:pPr>
        <w:adjustRightInd w:val="0"/>
        <w:snapToGrid w:val="0"/>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3、在各种学科竞赛、</w:t>
      </w:r>
      <w:r>
        <w:rPr>
          <w:rFonts w:hint="eastAsia" w:ascii="仿宋" w:hAnsi="仿宋" w:eastAsia="仿宋" w:cs="Times New Roman"/>
          <w:bCs/>
          <w:sz w:val="28"/>
          <w:szCs w:val="28"/>
        </w:rPr>
        <w:t>发表学术论文</w:t>
      </w:r>
      <w:r>
        <w:rPr>
          <w:rFonts w:hint="eastAsia" w:ascii="仿宋" w:hAnsi="仿宋" w:eastAsia="仿宋" w:cs="Times New Roman"/>
          <w:sz w:val="28"/>
          <w:szCs w:val="28"/>
        </w:rPr>
        <w:t>与课外活动竞赛中，应化拔尖班的获奖率与业绩均明显超过其它普通班级，各项指标均位居全校前列。以已毕业的前六届（2</w:t>
      </w:r>
      <w:r>
        <w:rPr>
          <w:rFonts w:ascii="仿宋" w:hAnsi="仿宋" w:eastAsia="仿宋" w:cs="Times New Roman"/>
          <w:sz w:val="28"/>
          <w:szCs w:val="28"/>
        </w:rPr>
        <w:t>016</w:t>
      </w:r>
      <w:r>
        <w:rPr>
          <w:rFonts w:hint="eastAsia" w:ascii="仿宋" w:hAnsi="仿宋" w:eastAsia="仿宋" w:cs="Times New Roman"/>
          <w:sz w:val="28"/>
          <w:szCs w:val="28"/>
        </w:rPr>
        <w:t>级、2</w:t>
      </w:r>
      <w:r>
        <w:rPr>
          <w:rFonts w:ascii="仿宋" w:hAnsi="仿宋" w:eastAsia="仿宋" w:cs="Times New Roman"/>
          <w:sz w:val="28"/>
          <w:szCs w:val="28"/>
        </w:rPr>
        <w:t>01</w:t>
      </w:r>
      <w:r>
        <w:rPr>
          <w:rFonts w:hint="eastAsia" w:ascii="仿宋" w:hAnsi="仿宋" w:eastAsia="仿宋" w:cs="Times New Roman"/>
          <w:sz w:val="28"/>
          <w:szCs w:val="28"/>
        </w:rPr>
        <w:t>7级、2</w:t>
      </w:r>
      <w:r>
        <w:rPr>
          <w:rFonts w:ascii="仿宋" w:hAnsi="仿宋" w:eastAsia="仿宋" w:cs="Times New Roman"/>
          <w:sz w:val="28"/>
          <w:szCs w:val="28"/>
        </w:rPr>
        <w:t>01</w:t>
      </w:r>
      <w:r>
        <w:rPr>
          <w:rFonts w:hint="eastAsia" w:ascii="仿宋" w:hAnsi="仿宋" w:eastAsia="仿宋" w:cs="Times New Roman"/>
          <w:sz w:val="28"/>
          <w:szCs w:val="28"/>
        </w:rPr>
        <w:t>8级、2</w:t>
      </w:r>
      <w:r>
        <w:rPr>
          <w:rFonts w:ascii="仿宋" w:hAnsi="仿宋" w:eastAsia="仿宋" w:cs="Times New Roman"/>
          <w:sz w:val="28"/>
          <w:szCs w:val="28"/>
        </w:rPr>
        <w:t>01</w:t>
      </w:r>
      <w:r>
        <w:rPr>
          <w:rFonts w:hint="eastAsia" w:ascii="仿宋" w:hAnsi="仿宋" w:eastAsia="仿宋" w:cs="Times New Roman"/>
          <w:sz w:val="28"/>
          <w:szCs w:val="28"/>
        </w:rPr>
        <w:t>9级、2</w:t>
      </w:r>
      <w:r>
        <w:rPr>
          <w:rFonts w:ascii="仿宋" w:hAnsi="仿宋" w:eastAsia="仿宋" w:cs="Times New Roman"/>
          <w:sz w:val="28"/>
          <w:szCs w:val="28"/>
        </w:rPr>
        <w:t>0</w:t>
      </w:r>
      <w:r>
        <w:rPr>
          <w:rFonts w:hint="eastAsia" w:ascii="仿宋" w:hAnsi="仿宋" w:eastAsia="仿宋" w:cs="Times New Roman"/>
          <w:sz w:val="28"/>
          <w:szCs w:val="28"/>
        </w:rPr>
        <w:t>20级、2</w:t>
      </w:r>
      <w:r>
        <w:rPr>
          <w:rFonts w:ascii="仿宋" w:hAnsi="仿宋" w:eastAsia="仿宋" w:cs="Times New Roman"/>
          <w:sz w:val="28"/>
          <w:szCs w:val="28"/>
        </w:rPr>
        <w:t>021</w:t>
      </w:r>
      <w:r>
        <w:rPr>
          <w:rFonts w:hint="eastAsia" w:ascii="仿宋" w:hAnsi="仿宋" w:eastAsia="仿宋" w:cs="Times New Roman"/>
          <w:sz w:val="28"/>
          <w:szCs w:val="28"/>
        </w:rPr>
        <w:t>级）为例，据不完全统计，拔尖班同学获奖学金及各类荣誉1</w:t>
      </w:r>
      <w:r>
        <w:rPr>
          <w:rFonts w:ascii="仿宋" w:hAnsi="仿宋" w:eastAsia="仿宋" w:cs="Times New Roman"/>
          <w:sz w:val="28"/>
          <w:szCs w:val="28"/>
        </w:rPr>
        <w:t>80</w:t>
      </w:r>
      <w:r>
        <w:rPr>
          <w:rFonts w:hint="eastAsia" w:ascii="仿宋" w:hAnsi="仿宋" w:eastAsia="仿宋" w:cs="Times New Roman"/>
          <w:sz w:val="28"/>
          <w:szCs w:val="28"/>
        </w:rPr>
        <w:t>余人次，其中</w:t>
      </w:r>
      <w:r>
        <w:rPr>
          <w:rFonts w:ascii="仿宋" w:hAnsi="仿宋" w:eastAsia="仿宋" w:cs="Times New Roman"/>
          <w:sz w:val="28"/>
          <w:szCs w:val="28"/>
        </w:rPr>
        <w:t>国家奖学金6</w:t>
      </w:r>
      <w:r>
        <w:rPr>
          <w:rFonts w:hint="eastAsia" w:ascii="仿宋" w:hAnsi="仿宋" w:eastAsia="仿宋" w:cs="Times New Roman"/>
          <w:sz w:val="28"/>
          <w:szCs w:val="28"/>
        </w:rPr>
        <w:t>人次，</w:t>
      </w:r>
      <w:r>
        <w:rPr>
          <w:rFonts w:ascii="仿宋" w:hAnsi="仿宋" w:eastAsia="仿宋" w:cs="Times New Roman"/>
          <w:sz w:val="28"/>
          <w:szCs w:val="28"/>
        </w:rPr>
        <w:t>国家励志奖学金12</w:t>
      </w:r>
      <w:r>
        <w:rPr>
          <w:rFonts w:hint="eastAsia" w:ascii="仿宋" w:hAnsi="仿宋" w:eastAsia="仿宋" w:cs="Times New Roman"/>
          <w:sz w:val="28"/>
          <w:szCs w:val="28"/>
        </w:rPr>
        <w:t>人次，</w:t>
      </w:r>
      <w:r>
        <w:rPr>
          <w:rFonts w:ascii="仿宋" w:hAnsi="仿宋" w:eastAsia="仿宋" w:cs="Times New Roman"/>
          <w:sz w:val="28"/>
          <w:szCs w:val="28"/>
        </w:rPr>
        <w:t>中国电信奖学金</w:t>
      </w:r>
      <w:r>
        <w:rPr>
          <w:rFonts w:hint="eastAsia" w:ascii="仿宋" w:hAnsi="仿宋" w:eastAsia="仿宋" w:cs="Times New Roman"/>
          <w:sz w:val="28"/>
          <w:szCs w:val="28"/>
        </w:rPr>
        <w:t>1人次（全省每年仅5</w:t>
      </w:r>
      <w:r>
        <w:rPr>
          <w:rFonts w:ascii="仿宋" w:hAnsi="仿宋" w:eastAsia="仿宋" w:cs="Times New Roman"/>
          <w:sz w:val="28"/>
          <w:szCs w:val="28"/>
        </w:rPr>
        <w:t>0</w:t>
      </w:r>
      <w:r>
        <w:rPr>
          <w:rFonts w:hint="eastAsia" w:ascii="仿宋" w:hAnsi="仿宋" w:eastAsia="仿宋" w:cs="Times New Roman"/>
          <w:sz w:val="28"/>
          <w:szCs w:val="28"/>
        </w:rPr>
        <w:t>人），B类及以上学科竞赛获奖</w:t>
      </w:r>
      <w:r>
        <w:rPr>
          <w:rFonts w:ascii="仿宋" w:hAnsi="仿宋" w:eastAsia="仿宋" w:cs="Times New Roman"/>
          <w:sz w:val="28"/>
          <w:szCs w:val="28"/>
        </w:rPr>
        <w:t>70</w:t>
      </w:r>
      <w:r>
        <w:rPr>
          <w:rFonts w:hint="eastAsia" w:ascii="仿宋" w:hAnsi="仿宋" w:eastAsia="仿宋" w:cs="Times New Roman"/>
          <w:sz w:val="28"/>
          <w:szCs w:val="28"/>
        </w:rPr>
        <w:t>余人次。</w:t>
      </w:r>
    </w:p>
    <w:p w14:paraId="75C1871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1A44C5"/>
    <w:rsid w:val="501A44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5">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2025-12-05T00:46:00Z</dcterms:created>
  <dc:creator>李杨</dc:creator>
  <cp:lastModifiedBy>李杨</cp:lastModifiedBy>
  <dcterms:modified xsi:type="dcterms:W3CDTF">2025-12-05T00:47:13Z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1D9D85C65A614BEDA7DADE74E31E3AAF_11</vt:lpwstr>
  </property>
  <property fmtid="{D5CDD505-2E9C-101B-9397-08002B2CF9AE}" pid="4" name="KSOTemplateDocerSaveRecord">
    <vt:lpwstr>eyJoZGlkIjoiZDJhYzZkNjhmYmNkOTNiZjJkNTRiMWRlMDg4NDZhZTMiLCJ1c2VySWQiOiIyMzY2ODMxMzkifQ==</vt:lpwstr>
  </property>
</Properties>
</file>